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5A92C36E" wp14:editId="4B604214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94F54" w:rsidRPr="00610B31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E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</w:t>
      </w:r>
      <w:r w:rsidR="00610B3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!</w:t>
      </w:r>
    </w:p>
    <w:p w:rsidR="00B94F54" w:rsidRPr="00B94F54" w:rsidRDefault="00B94F54" w:rsidP="00E32E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20 </w:t>
      </w:r>
      <w:r w:rsidR="000511E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06-2/222-16</w:t>
      </w:r>
    </w:p>
    <w:p w:rsidR="00B94F54" w:rsidRPr="00B94F54" w:rsidRDefault="008927C5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proofErr w:type="gramStart"/>
      <w:r w:rsidR="000511E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oktobar</w:t>
      </w:r>
      <w:proofErr w:type="gramEnd"/>
      <w:r w:rsid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94F54" w:rsidRPr="00B94F54" w:rsidRDefault="000511EB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ŠESTE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UTORAK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, </w:t>
      </w:r>
      <w:r w:rsid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11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OKTOBAR</w:t>
      </w:r>
      <w:r w:rsidR="00B94F54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GODINE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16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0511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Grujić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Petar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Jojić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Nataša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Vučković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Aleksandar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Stevanović</w:t>
      </w:r>
      <w:r w:rsidR="00A879F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Elvira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Kovač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Tanja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Miščević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Viktor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Nedović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predsedavajući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grupe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poglavlje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pomoćnik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ministra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prosvete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nauke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tehnološkog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poglavlje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Knežević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Ožegović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Asja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Drača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Muntean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Igor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Jovičić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Zečević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Milica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Basta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Tatjana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Bojović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Voštić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Kantar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Vejvoda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Saša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Simović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927C5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šestu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šest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255.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zatvorena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postupili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nauku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tehnološki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informatičko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255.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podnetom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dužan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zatvaranje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zatvaranje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0511EB" w:rsidP="00E32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Dnevni</w:t>
      </w:r>
      <w:r w:rsidR="00B94F54" w:rsidRPr="00B94F5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red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B54330" w:rsidRPr="00B27D67" w:rsidRDefault="000511EB" w:rsidP="00E32E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54330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Međuvladinu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konferenciju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pristupanju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Evropskoj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uniji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54330" w:rsidRPr="00A879F2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B54330" w:rsidRPr="003C5BEF" w:rsidRDefault="000511EB" w:rsidP="00E32E8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54330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Međuvladinu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konferenciju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pristupanju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Evropskoj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uniji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26 „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54330" w:rsidRPr="004105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B54330" w:rsidRDefault="000511EB" w:rsidP="00E32E8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Određivanje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delegacije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54. </w:t>
      </w:r>
      <w:r>
        <w:rPr>
          <w:rFonts w:ascii="Times New Roman" w:hAnsi="Times New Roman" w:cs="Times New Roman"/>
          <w:sz w:val="24"/>
          <w:szCs w:val="24"/>
          <w:lang w:val="uz-Cyrl-UZ"/>
        </w:rPr>
        <w:t>plenarni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Konferencije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parlamenata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članica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KOSAK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Bratislavi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Slovačka</w:t>
      </w:r>
      <w:r w:rsidR="00B54330" w:rsidRPr="00A879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13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15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54330" w:rsidRPr="006662F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1D4845" w:rsidRDefault="000511EB" w:rsidP="00E32E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Određivanje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 w:rsidRPr="00D27D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regionalnoj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radionici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Jačanje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parlamentaraca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delotvornih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protivterorističkih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organizuje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institut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pravdu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MIP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Valeti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Malta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5433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927C5" w:rsidRPr="008927C5" w:rsidRDefault="008927C5" w:rsidP="00E32E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27C5" w:rsidRPr="00E32E8D" w:rsidRDefault="000511EB" w:rsidP="00E32E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8927C5" w:rsidRPr="00E32E8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E32E8D" w:rsidRPr="00E32E8D" w:rsidRDefault="00E32E8D" w:rsidP="00E32E8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80102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EA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A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prvoj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C801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C801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šefici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Pregovaračkog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tima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927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opštih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vezanih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rekla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saopštiti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kolege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ministarstava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Šefica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Pregovaračkog</w:t>
      </w:r>
      <w:r w:rsidR="00A86F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tima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5</w:t>
      </w:r>
      <w:r w:rsidR="00A86F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nabavke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raspravljano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potvrda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Brisela</w:t>
      </w:r>
      <w:r w:rsidR="00A86F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ostalo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86F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daju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svoju</w:t>
      </w:r>
      <w:r w:rsidR="00532E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procenu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26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C05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konačnog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poslata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Brisel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otvorena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razliku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4D13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odmah</w:t>
      </w:r>
      <w:r w:rsidR="00EB09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zatvorena</w:t>
      </w:r>
      <w:r w:rsidR="00E5786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uputila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. 3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jasno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piše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prosvete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nauke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tehnološkog</w:t>
      </w:r>
      <w:r w:rsidR="009925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manjinskim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jezicima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A53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bavi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detaljima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ostvarena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stavljeno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23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mnogo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kontrolisano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posebnog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nacionalnih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manjina</w:t>
      </w:r>
      <w:r w:rsidR="003F151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B104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DC632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Nedović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napravio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kratak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osvrt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ono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urađeno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sklopu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pregovaračkog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25</w:t>
      </w:r>
      <w:r w:rsidR="00E64E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644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striktnim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merilima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izradi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principa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donele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članice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oblastima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nauke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inovacija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bismo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dostigli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bismo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unapredili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naš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ključne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njihovoj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potvrđena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početkom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E64E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odgovornost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sistemu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odgovornost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potrebi</w:t>
      </w:r>
      <w:r w:rsidR="000639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91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izvrsnost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nauci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podrazumevati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negovanje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pameti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izvrsnosti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nauci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negovanje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relevantnosti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tj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stvaranje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inovacije</w:t>
      </w:r>
      <w:r w:rsidR="00CC5A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korak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potrebama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snažno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reflektuje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dodatni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strateški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obrazložen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Mapa</w:t>
      </w:r>
      <w:r w:rsidR="0092473D" w:rsidRPr="006240A1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puta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istraživačke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infrastrukture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Dodao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raditi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inovacionoj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izmenjen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omogućiti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olakšano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fondove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budžetska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donacije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predpristupnu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="009247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samog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Fonda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inovacionu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Nedović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postanemo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prepoznati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evropskog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istraživačkog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budemo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umreženi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bitne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uđemo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zajedničkog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programiranja</w:t>
      </w:r>
      <w:r w:rsidR="00443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istraživanja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budemo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uspešni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najbitnijem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najvećem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evropskom</w:t>
      </w:r>
      <w:r w:rsidR="00DC44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programu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inovacije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zove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Horizont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2020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traje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C39D8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pokriva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aktuelna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prepoznata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evropskom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istraživačkom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prostoru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prepoznavanju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nacionalne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B104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uspešnih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primera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dosadašnjeg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učešća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okvirnom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programu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dobijen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grant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najprestižnijem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0A23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Evropskog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istraživačkog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ostvareno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prethodnih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sedam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E506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OP</w:t>
      </w:r>
      <w:r w:rsidR="00E50652" w:rsidRPr="00087B79">
        <w:rPr>
          <w:rFonts w:ascii="Times New Roman" w:hAnsi="Times New Roman" w:cs="Times New Roman"/>
          <w:i/>
          <w:sz w:val="24"/>
          <w:szCs w:val="24"/>
          <w:lang w:val="uz-Cyrl-UZ"/>
        </w:rPr>
        <w:t>7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40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ostvareno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Horizontu</w:t>
      </w:r>
      <w:r w:rsidR="00E50652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2020</w:t>
      </w:r>
      <w:r w:rsidR="00BF034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Indikatori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predstavila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="003B3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govore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jedna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retkih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ukupan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odobrenih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Horizonta</w:t>
      </w:r>
      <w:r w:rsidR="001C5FBF" w:rsidRPr="001C5FBF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2020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pokazuje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uspeh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nego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Okvirnom</w:t>
      </w:r>
      <w:r w:rsidR="006240A1" w:rsidRP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programu</w:t>
      </w:r>
      <w:r w:rsidR="006240A1" w:rsidRPr="00BF4E03">
        <w:rPr>
          <w:rFonts w:ascii="Times New Roman" w:hAnsi="Times New Roman" w:cs="Times New Roman"/>
          <w:sz w:val="24"/>
          <w:szCs w:val="24"/>
          <w:lang w:val="uz-Cyrl-UZ"/>
        </w:rPr>
        <w:t xml:space="preserve"> 7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ohrabrujuće</w:t>
      </w:r>
      <w:r w:rsidR="004E72A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procesa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dizajniranja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="000660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pametne</w:t>
      </w:r>
      <w:r w:rsidR="000660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specijalizacije</w:t>
      </w:r>
      <w:r w:rsidR="000660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informisao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F4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vladina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međuresorna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pokrenut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Strategiji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pametne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specijalizacije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dostupnost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fondova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nekom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sigurno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zato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odlučili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odmah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pokrenu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06D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T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rekla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obavljen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razgovor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Nacionalnog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konventa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dali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svoje</w:t>
      </w:r>
      <w:r w:rsidR="000106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preporuke</w:t>
      </w:r>
      <w:r w:rsidR="003E56D9" w:rsidRPr="00606D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3E7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unesu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752D5" w:rsidRP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tekst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pravno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tehničkoj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redakciji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moguće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E19AD" w:rsidRPr="008E50E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proizilaze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konvent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dobija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sažetak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3D658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dešava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njihovi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predlozi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integrisani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konvent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blagonaklono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poverenjem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gledao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izjašnjavanje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njihovim</w:t>
      </w:r>
      <w:r w:rsidR="001C5F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predlozima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nauku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tehnološki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informatičko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uputio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B1C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Nacionalnim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konventom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protekao</w:t>
      </w:r>
      <w:r w:rsidR="001451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451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konstruktivnom</w:t>
      </w:r>
      <w:r w:rsidR="001451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dijalogu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zatim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pročitala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Centra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obrazovne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pregovaračku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poziciju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80BF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80BF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pametne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specijalizacije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tekst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rečenica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navedenih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dokumenata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započeti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kreiiranjem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pametne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specijalizacije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>“)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predložila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0752D5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izjasne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E50E4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BE19AD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BE19AD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054C8F" w:rsidRPr="008E50E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D6585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njen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svakom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pregovaračkih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pozicija</w:t>
      </w:r>
      <w:r w:rsidR="00C80B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25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752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26,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pominje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institucionalni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pokrajinska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izvornih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poverenih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izvornom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režimu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budžetiranja</w:t>
      </w:r>
      <w:r w:rsidR="00BE1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stoga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početku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navodi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institucionalni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svakom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odeljku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saglasju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onim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prihvatljiva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forma</w:t>
      </w:r>
      <w:r w:rsidR="00875E2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00792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pregovaračkih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zasnovana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Ustavu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zakonima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definišu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određenim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oblastima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prvoj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verziji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septembru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prošle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vrlo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precizno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detaljno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školskim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savetima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predstavili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strukturu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4876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rečeno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07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suvišna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pregovaračku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poziciju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čita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podrazumevajući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skoncentrisane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B02F7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tamo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one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zapravo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jesu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sugestiju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poslušati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uneti</w:t>
      </w:r>
      <w:r w:rsidR="000901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090116" w:rsidRP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0116" w:rsidRP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090116" w:rsidRPr="000901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63679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D3E65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F632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Stojković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D3E65" w:rsidRP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Mićin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D3E65" w:rsidRP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Đokić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Ružić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CD3E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Blagojević</w:t>
      </w:r>
      <w:r w:rsidR="00AF076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A3E9F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diskusiju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prvoj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EA3E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A3E9F" w:rsidRP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A3E9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2. </w:t>
      </w:r>
      <w:r w:rsidR="000511EB"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1130A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drugu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1D2E5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1D2E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C28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želi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osvrne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intervencije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došle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Nacionanog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konventa</w:t>
      </w:r>
      <w:r w:rsidR="006F5D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ukupno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intervencije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Edukacije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vek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slučaja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precizirali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E717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četvrtom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inkluziji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socijalne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inkluzije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stavljeno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tamo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mnogo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relevantnije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Centra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obrazovne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smatraju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pojašnjavanje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razjašnjavanje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leksike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procenata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kad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354D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dodati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tehničkoj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redakciji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prethodnim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372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823BBA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</w:p>
    <w:p w:rsidR="005F014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rekla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čuli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pozitivnu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ocenu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predložene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preporuke</w:t>
      </w:r>
      <w:r w:rsidR="003E56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civilnog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9C0BF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raspravljalo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prošlog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četvrtka</w:t>
      </w:r>
      <w:r w:rsidR="00054F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predlažila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izjasni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F01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5554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preporukama</w:t>
      </w:r>
      <w:r w:rsidR="005F0140" w:rsidRPr="005554C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1130A" w:rsidRP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Đokić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="00E1130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67F0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pitala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želi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4F55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26.</w:t>
      </w:r>
    </w:p>
    <w:p w:rsidR="00867F0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pitao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pojašnjenja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celoživotno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učenje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E42B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odraslih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kaže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usvojeni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potrebni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podzakonski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kaže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metodologija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prikupljanja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podataka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uključivanju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odraslih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razvijena</w:t>
      </w:r>
      <w:r w:rsidR="00867F0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procenjuje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3-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4% </w:t>
      </w:r>
      <w:r>
        <w:rPr>
          <w:rFonts w:ascii="Times New Roman" w:hAnsi="Times New Roman" w:cs="Times New Roman"/>
          <w:sz w:val="24"/>
          <w:szCs w:val="24"/>
          <w:lang w:val="uz-Cyrl-UZ"/>
        </w:rPr>
        <w:t>populacije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obuhvaćeno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vidom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obrazovanja</w:t>
      </w:r>
      <w:r w:rsidR="007F005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Interesovalo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pitanjem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bavile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usmereno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omladine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nigde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pominje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Udovičića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nivoima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interesovalo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oblici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osim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rekreativnog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rekla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rekreativni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grane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potire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Kantar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800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odgovorio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odvojena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njihovoj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Strategiji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govori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rekreativnom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posebnom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RS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moglo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videti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razvoju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razvija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celoj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RS</w:t>
      </w:r>
      <w:r w:rsidR="00C37AF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uzimajući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rekreativni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invaliditetom</w:t>
      </w:r>
      <w:r w:rsidR="009654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vrhunski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sportske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46AD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rekreativnim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sportom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zovemo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sportska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teretane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režimu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tj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7641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641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režimu</w:t>
      </w:r>
      <w:r w:rsidR="007641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sportskih</w:t>
      </w:r>
      <w:r w:rsidR="007641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klubova</w:t>
      </w:r>
      <w:r w:rsidR="00746AD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337D1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primetili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nedostatke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jako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dugih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procedura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proceduru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ušli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mesecu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tj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izašli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trećeg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rokove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pravno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tehničkoj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redakciji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morati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stručni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6267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celoživotnog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učenja</w:t>
      </w:r>
      <w:r w:rsidR="004A4D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prepustiti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kolegama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72820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Stojanović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rekla</w:t>
      </w:r>
      <w:r w:rsidR="00A728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kad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celoživotnom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učenju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možemo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govoriti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pravca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idu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>„</w:t>
      </w:r>
      <w:r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jednu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odraslih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odrasle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pomenutih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>4%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podaci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poslednjeg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popisa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loši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D00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funkcionalno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nepismenih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drugog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uključivanje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odraslih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obuke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dokvalifikacije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prekvalifikacije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potrebama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tržišta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institucije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državnom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smanjila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nezaposlenost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tehnoloških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viškova</w:t>
      </w:r>
      <w:r w:rsidR="00F312E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procesu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pravljenja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kriterijuma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uskoro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krenuti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akreditacije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tih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dokvalifikaciji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prekvalifikaciji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postojeće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radne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snage</w:t>
      </w:r>
      <w:r w:rsidR="00432F3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80074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skrenula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pažnju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rokovi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probijeni</w:t>
      </w:r>
      <w:r w:rsidR="00F57E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potrabno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izvršiti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ispravke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pominje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usvojeni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pravilnici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sportu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doneti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osim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Pravlnika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školskom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sportu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B111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Kantar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prethodnim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sportu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pravilnici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AB1117" w:rsidRP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dodati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februaru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podrazumeva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B11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0516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="000516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516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donesu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tridesetak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podzakonskih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akata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pravilnika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govore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bliže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sportu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516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0516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7173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pravilnika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veoma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značajni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pravilnici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doneti</w:t>
      </w:r>
      <w:r w:rsidR="008078A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B7B11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0A010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4329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29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B7B11" w:rsidRPr="00FB7B11" w:rsidRDefault="000511EB" w:rsidP="00FB7B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844C3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saopštenje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javnost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FB7B11" w:rsidRPr="00FB7B1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B7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Odbor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za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evropske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integracije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sednici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održanoj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11.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oktobra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godine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koja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bila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zatvorena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za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javnost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razmotrio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i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dao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pozitivno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mišljenje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na</w:t>
      </w:r>
      <w:r w:rsidR="00FB7B11"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Pregovaračkih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pozicija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FB7B11" w:rsidRPr="00FB7B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uz-Cyrl-UZ"/>
        </w:rPr>
        <w:t>publike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25 - „</w:t>
      </w:r>
      <w:r>
        <w:rPr>
          <w:rFonts w:ascii="Times New Roman" w:hAnsi="Times New Roman" w:cs="Times New Roman"/>
          <w:sz w:val="24"/>
          <w:szCs w:val="24"/>
          <w:lang w:val="uz-Cyrl-UZ"/>
        </w:rPr>
        <w:t>Nauka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istraživanje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26 - „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kultura</w:t>
      </w:r>
      <w:r w:rsidR="00FB7B11" w:rsidRPr="00FB7B11">
        <w:rPr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FB7B11" w:rsidRDefault="00FB7B1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14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proofErr w:type="gramStart"/>
      <w:r w:rsidR="000511EB"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proofErr w:type="gramEnd"/>
      <w:r w:rsidRPr="003414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32E8D" w:rsidRPr="00E32E8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Određivanje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uz-Cyrl-UZ"/>
        </w:rPr>
        <w:t>plenarni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Konferencije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parlamenata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članica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KOSAK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Bratislavi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Slovačka</w:t>
      </w:r>
      <w:r w:rsidR="00E32E8D" w:rsidRPr="00E32E8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2A03D8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Odbor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Konferenciju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parlamenata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članica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KOSAK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Bratislavi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Slovačka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ide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delegacija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Elvira</w:t>
      </w:r>
      <w:r w:rsidR="00E32E8D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Kovač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2E8D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Dušica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Stojković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32E8D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14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proofErr w:type="gramStart"/>
      <w:r w:rsidR="000511EB"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proofErr w:type="gramEnd"/>
      <w:r w:rsidRPr="003414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32E8D" w:rsidRPr="00E32E8D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Određivanje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regionalnoj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radionici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Jačanje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parlamentaraca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delotvornih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protivterorističkih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organizuje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institut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pravdu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MIP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Valeti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Malta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32E8D" w:rsidRPr="00E32E8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2B3A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7B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regionalnoj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radionici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Jačanje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parlamentaraca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delotvornih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protivterorističkih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organizuje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institut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pravdu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vladavinu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MIP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Valeti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Malta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, 8-9.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F337D1" w:rsidRPr="00F337D1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858C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učestvuju</w:t>
      </w:r>
      <w:r w:rsidR="00F337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Marinika</w:t>
      </w:r>
      <w:r w:rsidR="001D48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1D48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D48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1D48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1D484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23647" w:rsidRDefault="000511EB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 xml:space="preserve"> 17:40</w:t>
      </w:r>
      <w:r w:rsidR="00A93B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32364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93B87" w:rsidRPr="00A93B87" w:rsidRDefault="000511EB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A93B87"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0511EB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A93B87" w:rsidRPr="00A93B87" w:rsidRDefault="00A93B87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A93B87" w:rsidRPr="00A93B87" w:rsidRDefault="000511EB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Đorđević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A93B87" w:rsidRPr="00A9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</w:p>
    <w:p w:rsidR="00A93B87" w:rsidRPr="00B745FC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A93B87" w:rsidRPr="00B745FC" w:rsidSect="00FD2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5E" w:rsidRDefault="00FE135E" w:rsidP="00FD2598">
      <w:pPr>
        <w:spacing w:after="0" w:line="240" w:lineRule="auto"/>
      </w:pPr>
      <w:r>
        <w:separator/>
      </w:r>
    </w:p>
  </w:endnote>
  <w:endnote w:type="continuationSeparator" w:id="0">
    <w:p w:rsidR="00FE135E" w:rsidRDefault="00FE135E" w:rsidP="00FD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5E" w:rsidRDefault="00FE135E" w:rsidP="00FD2598">
      <w:pPr>
        <w:spacing w:after="0" w:line="240" w:lineRule="auto"/>
      </w:pPr>
      <w:r>
        <w:separator/>
      </w:r>
    </w:p>
  </w:footnote>
  <w:footnote w:type="continuationSeparator" w:id="0">
    <w:p w:rsidR="00FE135E" w:rsidRDefault="00FE135E" w:rsidP="00FD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B" w:rsidRDefault="000511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CF0"/>
    <w:multiLevelType w:val="hybridMultilevel"/>
    <w:tmpl w:val="8D1A9376"/>
    <w:lvl w:ilvl="0" w:tplc="7564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0F82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F"/>
    <w:rsid w:val="00005A54"/>
    <w:rsid w:val="000106DD"/>
    <w:rsid w:val="000511EB"/>
    <w:rsid w:val="0005163A"/>
    <w:rsid w:val="000537A7"/>
    <w:rsid w:val="00054C8F"/>
    <w:rsid w:val="00054F36"/>
    <w:rsid w:val="00056CC2"/>
    <w:rsid w:val="00061C7D"/>
    <w:rsid w:val="000639E4"/>
    <w:rsid w:val="000660C1"/>
    <w:rsid w:val="000747E5"/>
    <w:rsid w:val="000752D5"/>
    <w:rsid w:val="00081D94"/>
    <w:rsid w:val="00087B79"/>
    <w:rsid w:val="00090116"/>
    <w:rsid w:val="00092286"/>
    <w:rsid w:val="0009503E"/>
    <w:rsid w:val="000A0107"/>
    <w:rsid w:val="000A23D0"/>
    <w:rsid w:val="000A2937"/>
    <w:rsid w:val="000A2A24"/>
    <w:rsid w:val="000B0525"/>
    <w:rsid w:val="000B4E18"/>
    <w:rsid w:val="000D06C5"/>
    <w:rsid w:val="000D3E7B"/>
    <w:rsid w:val="00110A6F"/>
    <w:rsid w:val="00111D47"/>
    <w:rsid w:val="00140312"/>
    <w:rsid w:val="00143EA0"/>
    <w:rsid w:val="00145131"/>
    <w:rsid w:val="001860BC"/>
    <w:rsid w:val="001A6F26"/>
    <w:rsid w:val="001C5FBF"/>
    <w:rsid w:val="001D2E53"/>
    <w:rsid w:val="001D4845"/>
    <w:rsid w:val="00210FAB"/>
    <w:rsid w:val="00212B3A"/>
    <w:rsid w:val="0025294F"/>
    <w:rsid w:val="002570FD"/>
    <w:rsid w:val="00277FE6"/>
    <w:rsid w:val="002A03D8"/>
    <w:rsid w:val="002C050E"/>
    <w:rsid w:val="00304CE3"/>
    <w:rsid w:val="00323647"/>
    <w:rsid w:val="003414EE"/>
    <w:rsid w:val="00354DE3"/>
    <w:rsid w:val="003729D1"/>
    <w:rsid w:val="00384669"/>
    <w:rsid w:val="003858CB"/>
    <w:rsid w:val="00391B14"/>
    <w:rsid w:val="003A0E41"/>
    <w:rsid w:val="003B1CC4"/>
    <w:rsid w:val="003B37F4"/>
    <w:rsid w:val="003D00C6"/>
    <w:rsid w:val="003D0291"/>
    <w:rsid w:val="003D6585"/>
    <w:rsid w:val="003E56D9"/>
    <w:rsid w:val="003E7543"/>
    <w:rsid w:val="003F1519"/>
    <w:rsid w:val="004329DE"/>
    <w:rsid w:val="00432F30"/>
    <w:rsid w:val="00443A70"/>
    <w:rsid w:val="00447D97"/>
    <w:rsid w:val="00467C10"/>
    <w:rsid w:val="004876C4"/>
    <w:rsid w:val="004966E1"/>
    <w:rsid w:val="004A4DA3"/>
    <w:rsid w:val="004D13DD"/>
    <w:rsid w:val="004E72A3"/>
    <w:rsid w:val="004F5568"/>
    <w:rsid w:val="004F6FB8"/>
    <w:rsid w:val="00526812"/>
    <w:rsid w:val="0053238C"/>
    <w:rsid w:val="00532E56"/>
    <w:rsid w:val="0053479B"/>
    <w:rsid w:val="005554CA"/>
    <w:rsid w:val="005A53CB"/>
    <w:rsid w:val="005B2E07"/>
    <w:rsid w:val="005B6E71"/>
    <w:rsid w:val="005E4151"/>
    <w:rsid w:val="005F0140"/>
    <w:rsid w:val="005F346B"/>
    <w:rsid w:val="00606D2C"/>
    <w:rsid w:val="00610B31"/>
    <w:rsid w:val="006240A1"/>
    <w:rsid w:val="0062673C"/>
    <w:rsid w:val="0063679F"/>
    <w:rsid w:val="00643D6A"/>
    <w:rsid w:val="006610C7"/>
    <w:rsid w:val="00680074"/>
    <w:rsid w:val="006C4303"/>
    <w:rsid w:val="006E6511"/>
    <w:rsid w:val="006F5D19"/>
    <w:rsid w:val="00717327"/>
    <w:rsid w:val="007330D7"/>
    <w:rsid w:val="00734FED"/>
    <w:rsid w:val="00746AD0"/>
    <w:rsid w:val="00755C4E"/>
    <w:rsid w:val="00755E16"/>
    <w:rsid w:val="007641E8"/>
    <w:rsid w:val="007749D3"/>
    <w:rsid w:val="00791450"/>
    <w:rsid w:val="007E3F08"/>
    <w:rsid w:val="007F0058"/>
    <w:rsid w:val="008078AE"/>
    <w:rsid w:val="00823BBA"/>
    <w:rsid w:val="00844C35"/>
    <w:rsid w:val="00845ABA"/>
    <w:rsid w:val="00847FE3"/>
    <w:rsid w:val="00867F00"/>
    <w:rsid w:val="00875E27"/>
    <w:rsid w:val="00876FFF"/>
    <w:rsid w:val="008927C5"/>
    <w:rsid w:val="008A3C4C"/>
    <w:rsid w:val="008E50E4"/>
    <w:rsid w:val="008F320E"/>
    <w:rsid w:val="008F57F9"/>
    <w:rsid w:val="0092473D"/>
    <w:rsid w:val="009654F3"/>
    <w:rsid w:val="0098024C"/>
    <w:rsid w:val="009925C1"/>
    <w:rsid w:val="009B1047"/>
    <w:rsid w:val="009B5A05"/>
    <w:rsid w:val="009C0BFA"/>
    <w:rsid w:val="009D782A"/>
    <w:rsid w:val="009E1E9B"/>
    <w:rsid w:val="009E458A"/>
    <w:rsid w:val="009F4216"/>
    <w:rsid w:val="009F6E9C"/>
    <w:rsid w:val="009F6EA3"/>
    <w:rsid w:val="00A1713C"/>
    <w:rsid w:val="00A72820"/>
    <w:rsid w:val="00A85A19"/>
    <w:rsid w:val="00A86F86"/>
    <w:rsid w:val="00A879F2"/>
    <w:rsid w:val="00A93B87"/>
    <w:rsid w:val="00AB1117"/>
    <w:rsid w:val="00AD4F93"/>
    <w:rsid w:val="00AF0765"/>
    <w:rsid w:val="00AF290F"/>
    <w:rsid w:val="00AF353D"/>
    <w:rsid w:val="00B02F7C"/>
    <w:rsid w:val="00B11932"/>
    <w:rsid w:val="00B37C5C"/>
    <w:rsid w:val="00B4293B"/>
    <w:rsid w:val="00B54330"/>
    <w:rsid w:val="00B65774"/>
    <w:rsid w:val="00B745FC"/>
    <w:rsid w:val="00B94F54"/>
    <w:rsid w:val="00BA1308"/>
    <w:rsid w:val="00BC39D8"/>
    <w:rsid w:val="00BE19AD"/>
    <w:rsid w:val="00BF0345"/>
    <w:rsid w:val="00BF4E03"/>
    <w:rsid w:val="00C37AF2"/>
    <w:rsid w:val="00C4167A"/>
    <w:rsid w:val="00C44AB6"/>
    <w:rsid w:val="00C65CCD"/>
    <w:rsid w:val="00C80102"/>
    <w:rsid w:val="00C80BFF"/>
    <w:rsid w:val="00CC5A4E"/>
    <w:rsid w:val="00CD3E65"/>
    <w:rsid w:val="00D00792"/>
    <w:rsid w:val="00D04DC4"/>
    <w:rsid w:val="00D06B2E"/>
    <w:rsid w:val="00D36B88"/>
    <w:rsid w:val="00D50FF5"/>
    <w:rsid w:val="00D53871"/>
    <w:rsid w:val="00D634B8"/>
    <w:rsid w:val="00D70A30"/>
    <w:rsid w:val="00D75BAB"/>
    <w:rsid w:val="00DA4C3E"/>
    <w:rsid w:val="00DC4434"/>
    <w:rsid w:val="00DC473A"/>
    <w:rsid w:val="00DC6324"/>
    <w:rsid w:val="00DD3A2B"/>
    <w:rsid w:val="00DE06C2"/>
    <w:rsid w:val="00E1130A"/>
    <w:rsid w:val="00E32E8D"/>
    <w:rsid w:val="00E42BA6"/>
    <w:rsid w:val="00E50652"/>
    <w:rsid w:val="00E54BF8"/>
    <w:rsid w:val="00E558C6"/>
    <w:rsid w:val="00E57867"/>
    <w:rsid w:val="00E611B1"/>
    <w:rsid w:val="00E644CC"/>
    <w:rsid w:val="00E64E24"/>
    <w:rsid w:val="00E71730"/>
    <w:rsid w:val="00E97DDA"/>
    <w:rsid w:val="00EA2CF7"/>
    <w:rsid w:val="00EA3E9F"/>
    <w:rsid w:val="00EA4004"/>
    <w:rsid w:val="00EB099E"/>
    <w:rsid w:val="00EC61C2"/>
    <w:rsid w:val="00EE3564"/>
    <w:rsid w:val="00F053D7"/>
    <w:rsid w:val="00F159A5"/>
    <w:rsid w:val="00F312EC"/>
    <w:rsid w:val="00F337D1"/>
    <w:rsid w:val="00F57EB1"/>
    <w:rsid w:val="00F63224"/>
    <w:rsid w:val="00FB7B11"/>
    <w:rsid w:val="00FC28BF"/>
    <w:rsid w:val="00FD2598"/>
    <w:rsid w:val="00FD758B"/>
    <w:rsid w:val="00FE135E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D01B-24DB-5649-9E48-1FEB183A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2396</Words>
  <Characters>13662</Characters>
  <Application>Microsoft Macintosh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cp:lastPrinted>2016-12-14T11:18:00Z</cp:lastPrinted>
  <dcterms:created xsi:type="dcterms:W3CDTF">2017-07-10T10:13:00Z</dcterms:created>
  <dcterms:modified xsi:type="dcterms:W3CDTF">2017-07-10T10:13:00Z</dcterms:modified>
</cp:coreProperties>
</file>